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65000" w14:textId="77777777" w:rsidR="008F5226" w:rsidRDefault="000302DD" w:rsidP="008F5226">
      <w:pPr>
        <w:pStyle w:val="a8"/>
        <w:jc w:val="center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Т</w:t>
      </w:r>
      <w:r w:rsidR="00DC3B3E"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арифи ТОВ «</w:t>
      </w:r>
      <w:r w:rsidR="000F09A6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СЕНТ СОФІЯ ПРОПЕРТІ </w:t>
      </w:r>
      <w:r w:rsidR="009115C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МЕНЕДЖМЕНТ</w:t>
      </w:r>
      <w:r w:rsidR="00DC3B3E"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»</w:t>
      </w:r>
      <w:r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2877D4"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на </w:t>
      </w:r>
      <w:r w:rsidR="005136C8"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теплов</w:t>
      </w:r>
      <w:r w:rsidR="002877D4"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у </w:t>
      </w:r>
      <w:r w:rsidR="005136C8"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енергі</w:t>
      </w:r>
      <w:r w:rsidR="002877D4"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ю</w:t>
      </w:r>
      <w:r w:rsidR="00787E85"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,</w:t>
      </w:r>
      <w:r w:rsidR="005136C8"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постачання </w:t>
      </w:r>
      <w:r w:rsidR="002877D4"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т</w:t>
      </w:r>
      <w:r w:rsidR="00787E85"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е</w:t>
      </w:r>
      <w:r w:rsidR="002877D4"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плової енергії та постачання </w:t>
      </w:r>
      <w:r w:rsidR="005136C8"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гарячої води</w:t>
      </w:r>
      <w:r w:rsidR="00F87C6C"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в опалювальному сезоні 202</w:t>
      </w:r>
      <w:r w:rsidR="00E964E4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4</w:t>
      </w:r>
      <w:r w:rsidR="00F87C6C"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-202</w:t>
      </w:r>
      <w:r w:rsidR="00E964E4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5</w:t>
      </w:r>
      <w:r w:rsidR="00F87C6C"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787E85" w:rsidRPr="002B08C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залишаються незмінними для категорії споживачів «населення».</w:t>
      </w:r>
      <w:r w:rsidR="008F5226" w:rsidRPr="008F5226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</w:p>
    <w:p w14:paraId="7B2022E4" w14:textId="34E66826" w:rsidR="000519A8" w:rsidRPr="008F5226" w:rsidRDefault="008F5226" w:rsidP="008F5226">
      <w:pPr>
        <w:pStyle w:val="a8"/>
        <w:ind w:firstLine="709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F522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Тариф що буде застосовуватись до споживачів (протягом періоду дії воєнного стану в Україні та протягом шести місяців після місяця, в якому його буде припинено або скасовано) </w:t>
      </w:r>
    </w:p>
    <w:p w14:paraId="2C926A1F" w14:textId="1D8309FC" w:rsidR="008978EF" w:rsidRPr="00F27418" w:rsidRDefault="00F27418" w:rsidP="008A5CB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</w:t>
      </w:r>
      <w:r w:rsidR="0022635B">
        <w:rPr>
          <w:rFonts w:ascii="Times New Roman" w:hAnsi="Times New Roman" w:cs="Times New Roman"/>
          <w:sz w:val="24"/>
          <w:szCs w:val="24"/>
          <w:lang w:val="uk-UA" w:eastAsia="ru-RU"/>
        </w:rPr>
        <w:t>зв’язку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зі змінами від 30.06.2023 року №3220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IX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E8735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внесеними до Закону України «Про </w:t>
      </w:r>
      <w:r w:rsidR="0012513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особливостями регулювання відносин на ринку природнього газу та сфері теплопостачання </w:t>
      </w:r>
      <w:r w:rsidR="00BD554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під час дії воєнного стану та подальшого відновлення </w:t>
      </w:r>
      <w:r w:rsidR="002D4D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їх функціонування» які набрали чинності </w:t>
      </w:r>
      <w:r w:rsidR="00D36B8C">
        <w:rPr>
          <w:rFonts w:ascii="Times New Roman" w:hAnsi="Times New Roman" w:cs="Times New Roman"/>
          <w:sz w:val="24"/>
          <w:szCs w:val="24"/>
          <w:lang w:val="uk-UA" w:eastAsia="ru-RU"/>
        </w:rPr>
        <w:t>27.07.2023</w:t>
      </w:r>
      <w:r w:rsidR="0022635B">
        <w:rPr>
          <w:rFonts w:ascii="Times New Roman" w:hAnsi="Times New Roman" w:cs="Times New Roman"/>
          <w:sz w:val="24"/>
          <w:szCs w:val="24"/>
          <w:lang w:val="uk-UA" w:eastAsia="ru-RU"/>
        </w:rPr>
        <w:t>р.</w:t>
      </w:r>
      <w:r w:rsidR="000B7FC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r w:rsidR="00D36B8C">
        <w:rPr>
          <w:rFonts w:ascii="Times New Roman" w:hAnsi="Times New Roman" w:cs="Times New Roman"/>
          <w:sz w:val="24"/>
          <w:szCs w:val="24"/>
          <w:lang w:val="uk-UA" w:eastAsia="ru-RU"/>
        </w:rPr>
        <w:t>тарифи</w:t>
      </w:r>
      <w:r w:rsidR="000B7FC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D36B8C">
        <w:rPr>
          <w:rFonts w:ascii="Times New Roman" w:hAnsi="Times New Roman" w:cs="Times New Roman"/>
          <w:sz w:val="24"/>
          <w:szCs w:val="24"/>
          <w:lang w:val="uk-UA" w:eastAsia="ru-RU"/>
        </w:rPr>
        <w:t>ТОВ «</w:t>
      </w:r>
      <w:r w:rsidR="00D0390C">
        <w:rPr>
          <w:rFonts w:ascii="Times New Roman" w:hAnsi="Times New Roman" w:cs="Times New Roman"/>
          <w:sz w:val="24"/>
          <w:szCs w:val="24"/>
          <w:lang w:val="uk-UA" w:eastAsia="ru-RU"/>
        </w:rPr>
        <w:t>СЕНТ СОФІЯ ПРОПЕРТІ МЕНЕДЖМЕНТ</w:t>
      </w:r>
      <w:r w:rsidR="00D36B8C">
        <w:rPr>
          <w:rFonts w:ascii="Times New Roman" w:hAnsi="Times New Roman" w:cs="Times New Roman"/>
          <w:sz w:val="24"/>
          <w:szCs w:val="24"/>
          <w:lang w:val="uk-UA" w:eastAsia="ru-RU"/>
        </w:rPr>
        <w:t>»</w:t>
      </w:r>
      <w:r w:rsidR="00674ED5" w:rsidRPr="008E37F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 теплову енергію, послуги з постачання теплової енергії </w:t>
      </w:r>
      <w:r w:rsidR="00AC4682">
        <w:rPr>
          <w:rFonts w:ascii="Times New Roman" w:hAnsi="Times New Roman" w:cs="Times New Roman"/>
          <w:sz w:val="24"/>
          <w:szCs w:val="24"/>
          <w:lang w:val="uk-UA" w:eastAsia="ru-RU"/>
        </w:rPr>
        <w:t>для категорії «інші споживачі»</w:t>
      </w:r>
      <w:r w:rsidR="00830A0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застосовуватимуться економічно </w:t>
      </w:r>
      <w:r w:rsidR="00AE71B3">
        <w:rPr>
          <w:rFonts w:ascii="Times New Roman" w:hAnsi="Times New Roman" w:cs="Times New Roman"/>
          <w:sz w:val="24"/>
          <w:szCs w:val="24"/>
          <w:lang w:val="uk-UA" w:eastAsia="ru-RU"/>
        </w:rPr>
        <w:t>обґрунтован</w:t>
      </w:r>
      <w:r w:rsidR="0050192E">
        <w:rPr>
          <w:rFonts w:ascii="Times New Roman" w:hAnsi="Times New Roman" w:cs="Times New Roman"/>
          <w:sz w:val="24"/>
          <w:szCs w:val="24"/>
          <w:lang w:val="uk-UA" w:eastAsia="ru-RU"/>
        </w:rPr>
        <w:t>і</w:t>
      </w:r>
      <w:r w:rsidR="00830A0F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14:paraId="68775FCD" w14:textId="753D2555" w:rsidR="00251A2A" w:rsidRDefault="005D05E6" w:rsidP="008A5CBA">
      <w:pPr>
        <w:pStyle w:val="a8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EF6EB"/>
          <w:lang w:val="uk-UA"/>
        </w:rPr>
      </w:pPr>
      <w:r w:rsidRPr="008E37F9">
        <w:rPr>
          <w:rFonts w:ascii="Times New Roman" w:hAnsi="Times New Roman" w:cs="Times New Roman"/>
          <w:sz w:val="24"/>
          <w:szCs w:val="24"/>
          <w:lang w:val="uk-UA" w:eastAsia="ru-RU"/>
        </w:rPr>
        <w:t>Встановлення</w:t>
      </w:r>
      <w:r w:rsidR="00261EF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E37F9">
        <w:rPr>
          <w:rFonts w:ascii="Times New Roman" w:hAnsi="Times New Roman" w:cs="Times New Roman"/>
          <w:sz w:val="24"/>
          <w:szCs w:val="24"/>
          <w:lang w:val="uk-UA" w:eastAsia="ru-RU"/>
        </w:rPr>
        <w:t>тарифів обумовлено наступними факторами:</w:t>
      </w:r>
      <w:r w:rsidR="00251A2A" w:rsidRPr="00251A2A">
        <w:rPr>
          <w:rFonts w:ascii="Arial" w:hAnsi="Arial" w:cs="Arial"/>
          <w:color w:val="000000"/>
          <w:sz w:val="23"/>
          <w:szCs w:val="23"/>
          <w:shd w:val="clear" w:color="auto" w:fill="FEF6EB"/>
          <w:lang w:val="uk-UA"/>
        </w:rPr>
        <w:t xml:space="preserve"> </w:t>
      </w:r>
    </w:p>
    <w:p w14:paraId="7FF3D56A" w14:textId="6147EFC1" w:rsidR="00E46E83" w:rsidRDefault="00E46E83" w:rsidP="008A5CB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9107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91077">
        <w:rPr>
          <w:rFonts w:ascii="Times New Roman" w:hAnsi="Times New Roman" w:cs="Times New Roman"/>
          <w:sz w:val="24"/>
          <w:szCs w:val="24"/>
          <w:lang w:val="uk-UA" w:eastAsia="ru-RU"/>
        </w:rPr>
        <w:t>необхід</w:t>
      </w:r>
      <w:r w:rsidR="000B7FC3">
        <w:rPr>
          <w:rFonts w:ascii="Times New Roman" w:hAnsi="Times New Roman" w:cs="Times New Roman"/>
          <w:sz w:val="24"/>
          <w:szCs w:val="24"/>
          <w:lang w:val="uk-UA" w:eastAsia="ru-RU"/>
        </w:rPr>
        <w:t>ність встановлення тарифів</w:t>
      </w:r>
      <w:r w:rsidR="0019107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 новий плановий період;</w:t>
      </w:r>
    </w:p>
    <w:p w14:paraId="7E0AED4A" w14:textId="2929B76D" w:rsidR="005A1C77" w:rsidRPr="00E46E83" w:rsidRDefault="005A1C77" w:rsidP="008A5CB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актуалізацією витрат </w:t>
      </w:r>
      <w:r w:rsidR="009174F8">
        <w:rPr>
          <w:rFonts w:ascii="Times New Roman" w:hAnsi="Times New Roman" w:cs="Times New Roman"/>
          <w:sz w:val="24"/>
          <w:szCs w:val="24"/>
          <w:lang w:val="uk-UA" w:eastAsia="ru-RU"/>
        </w:rPr>
        <w:t>пов’язаних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 виробництвом</w:t>
      </w:r>
      <w:r w:rsidR="008371E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постачанням  та транспортуванням теплової енергії </w:t>
      </w:r>
      <w:r w:rsidR="009174F8">
        <w:rPr>
          <w:rFonts w:ascii="Times New Roman" w:hAnsi="Times New Roman" w:cs="Times New Roman"/>
          <w:sz w:val="24"/>
          <w:szCs w:val="24"/>
          <w:lang w:val="uk-UA" w:eastAsia="ru-RU"/>
        </w:rPr>
        <w:t>, та відповідно наданням послуг з постачання теплової енергії та постачання гарячої води;</w:t>
      </w:r>
    </w:p>
    <w:p w14:paraId="2293415E" w14:textId="41F7E305" w:rsidR="002934C6" w:rsidRDefault="005D05E6" w:rsidP="005D07C2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E37F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</w:t>
      </w:r>
      <w:r w:rsidR="00C47CF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зміною вартості електричної енергії </w:t>
      </w:r>
      <w:r w:rsidR="00C33237" w:rsidRPr="008E37F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- </w:t>
      </w:r>
      <w:r w:rsidR="008F1EC3">
        <w:rPr>
          <w:rFonts w:ascii="Times New Roman" w:hAnsi="Times New Roman" w:cs="Times New Roman"/>
          <w:sz w:val="24"/>
          <w:szCs w:val="24"/>
          <w:lang w:val="uk-UA" w:eastAsia="ru-RU"/>
        </w:rPr>
        <w:t>63,64</w:t>
      </w:r>
      <w:r w:rsidR="00C33237" w:rsidRPr="008E37F9">
        <w:rPr>
          <w:rFonts w:ascii="Times New Roman" w:hAnsi="Times New Roman" w:cs="Times New Roman"/>
          <w:sz w:val="24"/>
          <w:szCs w:val="24"/>
          <w:lang w:val="uk-UA" w:eastAsia="ru-RU"/>
        </w:rPr>
        <w:t>%</w:t>
      </w:r>
      <w:r w:rsidR="00D93D57" w:rsidRPr="008E37F9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14:paraId="510BBC72" w14:textId="564B8944" w:rsidR="00D74C9F" w:rsidRDefault="00D74C9F" w:rsidP="005D07C2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зміною вартості холодної води </w:t>
      </w:r>
      <w:r w:rsidR="00986CC2">
        <w:rPr>
          <w:rFonts w:ascii="Times New Roman" w:hAnsi="Times New Roman" w:cs="Times New Roman"/>
          <w:sz w:val="24"/>
          <w:szCs w:val="24"/>
          <w:lang w:val="uk-UA"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986CC2">
        <w:rPr>
          <w:rFonts w:ascii="Times New Roman" w:hAnsi="Times New Roman" w:cs="Times New Roman"/>
          <w:sz w:val="24"/>
          <w:szCs w:val="24"/>
          <w:lang w:val="uk-UA" w:eastAsia="ru-RU"/>
        </w:rPr>
        <w:t>59,02</w:t>
      </w:r>
      <w:r w:rsidR="00FA1CA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%</w:t>
      </w:r>
    </w:p>
    <w:p w14:paraId="4905549C" w14:textId="619A290F" w:rsidR="005D05E6" w:rsidRPr="00441B17" w:rsidRDefault="005D05E6" w:rsidP="002934C6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E37F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Тарифи на теплову енергію/комунальну послугу з постачання теплової енергії для будинків, обладнаних системою автономного </w:t>
      </w:r>
      <w:r w:rsidR="00412F08">
        <w:rPr>
          <w:rFonts w:ascii="Times New Roman" w:hAnsi="Times New Roman" w:cs="Times New Roman"/>
          <w:sz w:val="24"/>
          <w:szCs w:val="24"/>
          <w:lang w:val="uk-UA" w:eastAsia="ru-RU"/>
        </w:rPr>
        <w:t>теплопостачання</w:t>
      </w:r>
      <w:r w:rsidRPr="008E37F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r w:rsidR="00441B17" w:rsidRPr="00441B17">
        <w:rPr>
          <w:rFonts w:ascii="Times New Roman" w:hAnsi="Times New Roman" w:cs="Times New Roman"/>
          <w:sz w:val="24"/>
          <w:szCs w:val="24"/>
          <w:lang w:val="uk-UA" w:eastAsia="ru-RU"/>
        </w:rPr>
        <w:t>без урахування витрат на оснащення будівель вузлами комерційного обліку,</w:t>
      </w:r>
      <w:r w:rsidR="00441B1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41B1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розраховані на економічно </w:t>
      </w:r>
      <w:r w:rsidR="00C85D8F" w:rsidRPr="00441B17">
        <w:rPr>
          <w:rFonts w:ascii="Times New Roman" w:hAnsi="Times New Roman" w:cs="Times New Roman"/>
          <w:sz w:val="24"/>
          <w:szCs w:val="24"/>
          <w:lang w:val="uk-UA" w:eastAsia="ru-RU"/>
        </w:rPr>
        <w:t>обґрунтованому</w:t>
      </w:r>
      <w:r w:rsidRPr="00441B1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рівні для здійснення розрахунків зі споживачами для категорій</w:t>
      </w:r>
      <w:r w:rsidR="00E327F9" w:rsidRPr="00441B1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споживачів</w:t>
      </w:r>
      <w:r w:rsidR="00C97879" w:rsidRPr="00441B17">
        <w:rPr>
          <w:rFonts w:ascii="Times New Roman" w:hAnsi="Times New Roman" w:cs="Times New Roman"/>
          <w:sz w:val="24"/>
          <w:szCs w:val="24"/>
          <w:lang w:val="uk-UA" w:eastAsia="ru-RU"/>
        </w:rPr>
        <w:t>:</w:t>
      </w:r>
    </w:p>
    <w:tbl>
      <w:tblPr>
        <w:tblStyle w:val="a4"/>
        <w:tblW w:w="16013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4536"/>
        <w:gridCol w:w="1276"/>
        <w:gridCol w:w="1843"/>
        <w:gridCol w:w="3118"/>
        <w:gridCol w:w="1843"/>
      </w:tblGrid>
      <w:tr w:rsidR="00A31F78" w:rsidRPr="00200867" w14:paraId="149A34CD" w14:textId="7E0C8DBD" w:rsidTr="00A31F78">
        <w:trPr>
          <w:trHeight w:val="1377"/>
        </w:trPr>
        <w:tc>
          <w:tcPr>
            <w:tcW w:w="1838" w:type="dxa"/>
          </w:tcPr>
          <w:p w14:paraId="17AFA399" w14:textId="1932BF4F" w:rsidR="00A31F78" w:rsidRPr="008C2B90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8C2B90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Адреса будинку</w:t>
            </w:r>
          </w:p>
        </w:tc>
        <w:tc>
          <w:tcPr>
            <w:tcW w:w="1559" w:type="dxa"/>
          </w:tcPr>
          <w:p w14:paraId="4B1755CA" w14:textId="79FD8FA6" w:rsidR="00A31F78" w:rsidRPr="008C2B90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8C2B90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Споживачі</w:t>
            </w:r>
          </w:p>
        </w:tc>
        <w:tc>
          <w:tcPr>
            <w:tcW w:w="4536" w:type="dxa"/>
          </w:tcPr>
          <w:p w14:paraId="33BA135D" w14:textId="1BC8ED37" w:rsidR="00A31F78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Тариф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що застосовується до споживачів (протягом періоду дії воєнного стану в Україні та протягом шести місяців після місяця, в якому його буде припинено або скасовано)</w:t>
            </w:r>
            <w:r w:rsidRPr="009E518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 (Розпорядження КМВА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14.11.2023</w:t>
            </w:r>
            <w:r w:rsidRPr="009E518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9</w:t>
            </w:r>
            <w:r w:rsidRPr="009E518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16)</w:t>
            </w:r>
          </w:p>
          <w:p w14:paraId="21BFEDA6" w14:textId="13DC4096" w:rsidR="00A31F78" w:rsidRPr="008C2B90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грн. за 1 </w:t>
            </w:r>
            <w:proofErr w:type="spellStart"/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Гкал</w:t>
            </w:r>
            <w:proofErr w:type="spellEnd"/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276" w:type="dxa"/>
          </w:tcPr>
          <w:p w14:paraId="6A214BC5" w14:textId="77777777" w:rsidR="00A31F78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9216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 xml:space="preserve">Планований економічно обґрунтований тарифи, </w:t>
            </w:r>
          </w:p>
          <w:p w14:paraId="5B0CC97A" w14:textId="144304F1" w:rsidR="00A31F78" w:rsidRPr="009216E5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r w:rsidRPr="009216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грн. за 1 </w:t>
            </w:r>
            <w:proofErr w:type="spellStart"/>
            <w:r w:rsidRPr="009216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Гкал</w:t>
            </w:r>
            <w:proofErr w:type="spellEnd"/>
            <w:r w:rsidRPr="009216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843" w:type="dxa"/>
          </w:tcPr>
          <w:p w14:paraId="0D7A651A" w14:textId="442F107F" w:rsidR="00A31F78" w:rsidRPr="0009690B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% зміни (+зростання) тарифу відносно діючого тарифу що застосовується </w:t>
            </w:r>
          </w:p>
        </w:tc>
        <w:tc>
          <w:tcPr>
            <w:tcW w:w="3118" w:type="dxa"/>
          </w:tcPr>
          <w:p w14:paraId="4C126D45" w14:textId="7819B67A" w:rsidR="00A31F78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Тариф що буде застосову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ватись</w:t>
            </w:r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до споживачів (протягом періоду дії воєнного стану в Україні та протягом шести місяців після місяця, в якому його буде припинено або скасовано) </w:t>
            </w:r>
          </w:p>
          <w:p w14:paraId="09B2884A" w14:textId="42C64A05" w:rsidR="00A31F78" w:rsidRPr="008C2B90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грн. за 1 </w:t>
            </w:r>
            <w:proofErr w:type="spellStart"/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Гкал</w:t>
            </w:r>
            <w:proofErr w:type="spellEnd"/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843" w:type="dxa"/>
          </w:tcPr>
          <w:p w14:paraId="42441F50" w14:textId="200B49ED" w:rsidR="00A31F78" w:rsidRPr="008C2B90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%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відхилення тарифу, що буде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застосовува-тись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до споживачів</w:t>
            </w:r>
          </w:p>
        </w:tc>
      </w:tr>
      <w:tr w:rsidR="00A31F78" w:rsidRPr="008C2B90" w14:paraId="62931110" w14:textId="38FDF700" w:rsidTr="00A31F78">
        <w:tc>
          <w:tcPr>
            <w:tcW w:w="1838" w:type="dxa"/>
            <w:vMerge w:val="restart"/>
          </w:tcPr>
          <w:p w14:paraId="770C17A3" w14:textId="0AD39B9E" w:rsidR="00A31F78" w:rsidRPr="008C2B90" w:rsidRDefault="00A31F78" w:rsidP="00A31F7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Проспект Берестейський,42а</w:t>
            </w:r>
          </w:p>
        </w:tc>
        <w:tc>
          <w:tcPr>
            <w:tcW w:w="1559" w:type="dxa"/>
          </w:tcPr>
          <w:p w14:paraId="34A55412" w14:textId="4DFC1DBD" w:rsidR="00A31F78" w:rsidRPr="008C2B90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8C2B90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Населення</w:t>
            </w:r>
          </w:p>
        </w:tc>
        <w:tc>
          <w:tcPr>
            <w:tcW w:w="4536" w:type="dxa"/>
          </w:tcPr>
          <w:p w14:paraId="11010937" w14:textId="6DFBDAEF" w:rsidR="00A31F78" w:rsidRPr="008C2B90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2065,37</w:t>
            </w:r>
          </w:p>
        </w:tc>
        <w:tc>
          <w:tcPr>
            <w:tcW w:w="1276" w:type="dxa"/>
          </w:tcPr>
          <w:p w14:paraId="6FCB3A93" w14:textId="62C2023C" w:rsidR="00A31F78" w:rsidRPr="009216E5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2367,71</w:t>
            </w:r>
          </w:p>
        </w:tc>
        <w:tc>
          <w:tcPr>
            <w:tcW w:w="1843" w:type="dxa"/>
          </w:tcPr>
          <w:p w14:paraId="0651F017" w14:textId="5C98AE3B" w:rsidR="00A31F78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14,64</w:t>
            </w:r>
          </w:p>
        </w:tc>
        <w:tc>
          <w:tcPr>
            <w:tcW w:w="3118" w:type="dxa"/>
          </w:tcPr>
          <w:p w14:paraId="3A118B9C" w14:textId="4371F85D" w:rsidR="00A31F78" w:rsidRPr="008C2B90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2065,37</w:t>
            </w:r>
          </w:p>
        </w:tc>
        <w:tc>
          <w:tcPr>
            <w:tcW w:w="1843" w:type="dxa"/>
          </w:tcPr>
          <w:p w14:paraId="6A1B82D3" w14:textId="52392D63" w:rsidR="00A31F78" w:rsidRPr="008C2B90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8C2B90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A31F78" w:rsidRPr="008C2B90" w14:paraId="4EA5150A" w14:textId="0EED4984" w:rsidTr="00A31F78">
        <w:tc>
          <w:tcPr>
            <w:tcW w:w="1838" w:type="dxa"/>
            <w:vMerge/>
          </w:tcPr>
          <w:p w14:paraId="42C24E74" w14:textId="77777777" w:rsidR="00A31F78" w:rsidRPr="008C2B90" w:rsidRDefault="00A31F78" w:rsidP="00A31F7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3348859E" w14:textId="768F22F3" w:rsidR="00A31F78" w:rsidRPr="008C2B90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8C2B90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Інші споживачі</w:t>
            </w:r>
          </w:p>
        </w:tc>
        <w:tc>
          <w:tcPr>
            <w:tcW w:w="4536" w:type="dxa"/>
          </w:tcPr>
          <w:p w14:paraId="6B7839FC" w14:textId="747A6427" w:rsidR="00A31F78" w:rsidRPr="008C2B90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3167,58</w:t>
            </w:r>
          </w:p>
        </w:tc>
        <w:tc>
          <w:tcPr>
            <w:tcW w:w="1276" w:type="dxa"/>
          </w:tcPr>
          <w:p w14:paraId="7E557C0B" w14:textId="122AD76C" w:rsidR="00A31F78" w:rsidRPr="009216E5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3469,92</w:t>
            </w:r>
          </w:p>
        </w:tc>
        <w:tc>
          <w:tcPr>
            <w:tcW w:w="1843" w:type="dxa"/>
          </w:tcPr>
          <w:p w14:paraId="3E37408A" w14:textId="357A2501" w:rsidR="00A31F78" w:rsidRDefault="007135BD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9,5</w:t>
            </w:r>
            <w:r w:rsidR="0051660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118" w:type="dxa"/>
          </w:tcPr>
          <w:p w14:paraId="41A07AC8" w14:textId="61741ADB" w:rsidR="00A31F78" w:rsidRPr="008C2B90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3469,92</w:t>
            </w:r>
          </w:p>
        </w:tc>
        <w:tc>
          <w:tcPr>
            <w:tcW w:w="1843" w:type="dxa"/>
          </w:tcPr>
          <w:p w14:paraId="6E9B15ED" w14:textId="414971FC" w:rsidR="00A31F78" w:rsidRPr="008C2B90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9,54</w:t>
            </w:r>
          </w:p>
        </w:tc>
      </w:tr>
    </w:tbl>
    <w:p w14:paraId="07547750" w14:textId="5B94C7E8" w:rsidR="005D05E6" w:rsidRPr="008E37F9" w:rsidRDefault="005D05E6" w:rsidP="00FD6AB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E37F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Тарифи на комунальну послугу з постачання гарячої води розраховані на економічно </w:t>
      </w:r>
      <w:r w:rsidR="002871D3" w:rsidRPr="008E37F9">
        <w:rPr>
          <w:rFonts w:ascii="Times New Roman" w:hAnsi="Times New Roman" w:cs="Times New Roman"/>
          <w:sz w:val="24"/>
          <w:szCs w:val="24"/>
          <w:lang w:val="uk-UA" w:eastAsia="ru-RU"/>
        </w:rPr>
        <w:t>обґрунтованому</w:t>
      </w:r>
      <w:r w:rsidRPr="008E37F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рівні для будинків, обладнаних системою автономного </w:t>
      </w:r>
      <w:r w:rsidR="00424F22" w:rsidRPr="008E37F9">
        <w:rPr>
          <w:rFonts w:ascii="Times New Roman" w:hAnsi="Times New Roman" w:cs="Times New Roman"/>
          <w:sz w:val="24"/>
          <w:szCs w:val="24"/>
          <w:lang w:val="uk-UA" w:eastAsia="ru-RU"/>
        </w:rPr>
        <w:t>теплопостачання</w:t>
      </w:r>
      <w:r w:rsidRPr="008E37F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r w:rsidR="00670B11" w:rsidRPr="00441B17">
        <w:rPr>
          <w:rFonts w:ascii="Times New Roman" w:hAnsi="Times New Roman" w:cs="Times New Roman"/>
          <w:sz w:val="24"/>
          <w:szCs w:val="24"/>
          <w:lang w:val="uk-UA" w:eastAsia="ru-RU"/>
        </w:rPr>
        <w:t>без урахування витрат на оснащення будівель вузлами комерційного обліку</w:t>
      </w:r>
      <w:r w:rsidR="00670B11" w:rsidRPr="008E37F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E37F9">
        <w:rPr>
          <w:rFonts w:ascii="Times New Roman" w:hAnsi="Times New Roman" w:cs="Times New Roman"/>
          <w:sz w:val="24"/>
          <w:szCs w:val="24"/>
          <w:lang w:val="uk-UA" w:eastAsia="ru-RU"/>
        </w:rPr>
        <w:t>для здійснення розрахунків зі споживачами для категорій населення:</w:t>
      </w:r>
    </w:p>
    <w:tbl>
      <w:tblPr>
        <w:tblStyle w:val="a4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0"/>
        <w:gridCol w:w="1706"/>
        <w:gridCol w:w="4252"/>
        <w:gridCol w:w="1418"/>
        <w:gridCol w:w="1985"/>
        <w:gridCol w:w="2976"/>
        <w:gridCol w:w="1843"/>
      </w:tblGrid>
      <w:tr w:rsidR="00A31F78" w:rsidRPr="00034C6C" w14:paraId="171B412E" w14:textId="2793E8DA" w:rsidTr="00A31F78">
        <w:tc>
          <w:tcPr>
            <w:tcW w:w="1980" w:type="dxa"/>
            <w:vAlign w:val="center"/>
          </w:tcPr>
          <w:p w14:paraId="7E34CDC1" w14:textId="77777777" w:rsidR="00A31F78" w:rsidRPr="00034C6C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34C6C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Адреса індивідуального теплового пункту</w:t>
            </w:r>
          </w:p>
        </w:tc>
        <w:tc>
          <w:tcPr>
            <w:tcW w:w="1706" w:type="dxa"/>
          </w:tcPr>
          <w:p w14:paraId="14C0C314" w14:textId="45FCED79" w:rsidR="00A31F78" w:rsidRPr="00CF30CA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</w:pPr>
            <w:r w:rsidRPr="00CF30CA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Споживачі</w:t>
            </w:r>
          </w:p>
        </w:tc>
        <w:tc>
          <w:tcPr>
            <w:tcW w:w="4252" w:type="dxa"/>
          </w:tcPr>
          <w:p w14:paraId="6CF98A1A" w14:textId="77777777" w:rsidR="00A31F78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Тариф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що застосовується до споживачів (протягом періоду дії воєнного стану в Україні та протягом шести місяців після місяця, в якому його буде припинено або скасовано)</w:t>
            </w:r>
            <w:r w:rsidRPr="009E518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 (Розпорядження КМВА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14.11.2023</w:t>
            </w:r>
            <w:r w:rsidRPr="009E518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9</w:t>
            </w:r>
            <w:r w:rsidRPr="009E518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16)</w:t>
            </w:r>
          </w:p>
          <w:p w14:paraId="4AC662C5" w14:textId="3C33FAB0" w:rsidR="00A31F78" w:rsidRPr="00CF30CA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грн. за 1 </w:t>
            </w:r>
            <w:proofErr w:type="spellStart"/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Гкал</w:t>
            </w:r>
            <w:proofErr w:type="spellEnd"/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418" w:type="dxa"/>
          </w:tcPr>
          <w:p w14:paraId="719E4CDD" w14:textId="77777777" w:rsidR="00A31F78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9216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 xml:space="preserve">Планований економічно обґрунтований тарифи, </w:t>
            </w:r>
          </w:p>
          <w:p w14:paraId="0B7EB610" w14:textId="60F7B28B" w:rsidR="00A31F78" w:rsidRPr="00CF30CA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9216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грн. за 1 </w:t>
            </w:r>
            <w:proofErr w:type="spellStart"/>
            <w:r w:rsidRPr="009216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Гкал</w:t>
            </w:r>
            <w:proofErr w:type="spellEnd"/>
            <w:r w:rsidRPr="009216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985" w:type="dxa"/>
          </w:tcPr>
          <w:p w14:paraId="6E18DF3E" w14:textId="1A74A7B8" w:rsidR="00A31F78" w:rsidRPr="0009690B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% зміни (+зростання) тарифу відносно діючого тарифу що застосовується </w:t>
            </w:r>
          </w:p>
        </w:tc>
        <w:tc>
          <w:tcPr>
            <w:tcW w:w="2976" w:type="dxa"/>
          </w:tcPr>
          <w:p w14:paraId="4822497B" w14:textId="0080F3E2" w:rsidR="00A31F78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Тариф що буде застосову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ватись</w:t>
            </w:r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до споживачів (протягом періоду дії воєнного стану в Україні та протягом шести місяців після місяця, в якому його буде припинено або скасовано) </w:t>
            </w:r>
          </w:p>
          <w:p w14:paraId="3EF44147" w14:textId="6669BC70" w:rsidR="00A31F78" w:rsidRPr="00CF30CA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грн. за 1 </w:t>
            </w:r>
            <w:proofErr w:type="spellStart"/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Гкал</w:t>
            </w:r>
            <w:proofErr w:type="spellEnd"/>
            <w:r w:rsidRPr="0009690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843" w:type="dxa"/>
          </w:tcPr>
          <w:p w14:paraId="584BA866" w14:textId="24752028" w:rsidR="00A31F78" w:rsidRPr="00CF30CA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CF30CA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% відхилення тарифу, що буде </w:t>
            </w:r>
            <w:proofErr w:type="spellStart"/>
            <w:r w:rsidRPr="00CF30CA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застосовува</w:t>
            </w:r>
            <w:proofErr w:type="spellEnd"/>
            <w:r w:rsidRPr="00CF30C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-</w:t>
            </w:r>
            <w:proofErr w:type="spellStart"/>
            <w:r w:rsidRPr="00CF30CA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тись</w:t>
            </w:r>
            <w:proofErr w:type="spellEnd"/>
            <w:r w:rsidRPr="00CF30CA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до споживачів</w:t>
            </w:r>
          </w:p>
        </w:tc>
      </w:tr>
      <w:tr w:rsidR="00A31F78" w:rsidRPr="00034C6C" w14:paraId="4871493F" w14:textId="16DEBA6B" w:rsidTr="00A31F78">
        <w:tc>
          <w:tcPr>
            <w:tcW w:w="1980" w:type="dxa"/>
            <w:vMerge w:val="restart"/>
          </w:tcPr>
          <w:p w14:paraId="2B725726" w14:textId="5762AFF5" w:rsidR="00A31F78" w:rsidRPr="00034C6C" w:rsidRDefault="00A31F78" w:rsidP="00A31F7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Проспект Берестейський,42а</w:t>
            </w:r>
          </w:p>
        </w:tc>
        <w:tc>
          <w:tcPr>
            <w:tcW w:w="1706" w:type="dxa"/>
          </w:tcPr>
          <w:p w14:paraId="433C33DF" w14:textId="7D643D05" w:rsidR="00A31F78" w:rsidRPr="00034C6C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034C6C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населення</w:t>
            </w:r>
          </w:p>
        </w:tc>
        <w:tc>
          <w:tcPr>
            <w:tcW w:w="4252" w:type="dxa"/>
          </w:tcPr>
          <w:p w14:paraId="5C861C74" w14:textId="5197E792" w:rsidR="00A31F78" w:rsidRPr="00034C6C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99,76</w:t>
            </w:r>
          </w:p>
        </w:tc>
        <w:tc>
          <w:tcPr>
            <w:tcW w:w="1418" w:type="dxa"/>
          </w:tcPr>
          <w:p w14:paraId="7E63744A" w14:textId="5068AE88" w:rsidR="00A31F78" w:rsidRPr="00F045D9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121,54</w:t>
            </w:r>
          </w:p>
        </w:tc>
        <w:tc>
          <w:tcPr>
            <w:tcW w:w="1985" w:type="dxa"/>
          </w:tcPr>
          <w:p w14:paraId="50CDA86B" w14:textId="0852EDE0" w:rsidR="00A31F78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21,83</w:t>
            </w:r>
          </w:p>
        </w:tc>
        <w:tc>
          <w:tcPr>
            <w:tcW w:w="2976" w:type="dxa"/>
          </w:tcPr>
          <w:p w14:paraId="3EF5822F" w14:textId="7F1E847D" w:rsidR="00A31F78" w:rsidRPr="00034C6C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99,76</w:t>
            </w:r>
          </w:p>
        </w:tc>
        <w:tc>
          <w:tcPr>
            <w:tcW w:w="1843" w:type="dxa"/>
          </w:tcPr>
          <w:p w14:paraId="2F9525E9" w14:textId="1FE250FD" w:rsidR="00A31F78" w:rsidRPr="00034C6C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A31F78" w:rsidRPr="00034C6C" w14:paraId="15AEBE02" w14:textId="3C2B3203" w:rsidTr="00A31F78">
        <w:tc>
          <w:tcPr>
            <w:tcW w:w="1980" w:type="dxa"/>
            <w:vMerge/>
          </w:tcPr>
          <w:p w14:paraId="4EF679B3" w14:textId="77777777" w:rsidR="00A31F78" w:rsidRDefault="00A31F78" w:rsidP="00A31F7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6" w:type="dxa"/>
          </w:tcPr>
          <w:p w14:paraId="60A7AE27" w14:textId="6B7433F0" w:rsidR="00A31F78" w:rsidRPr="00034C6C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Інші споживачі</w:t>
            </w:r>
          </w:p>
        </w:tc>
        <w:tc>
          <w:tcPr>
            <w:tcW w:w="4252" w:type="dxa"/>
          </w:tcPr>
          <w:p w14:paraId="3BB1603F" w14:textId="6F46A781" w:rsidR="00A31F78" w:rsidRPr="00034C6C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144,88</w:t>
            </w:r>
          </w:p>
        </w:tc>
        <w:tc>
          <w:tcPr>
            <w:tcW w:w="1418" w:type="dxa"/>
          </w:tcPr>
          <w:p w14:paraId="1EC63631" w14:textId="73512DBE" w:rsidR="00A31F78" w:rsidRPr="00F045D9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167,88</w:t>
            </w:r>
          </w:p>
        </w:tc>
        <w:tc>
          <w:tcPr>
            <w:tcW w:w="1985" w:type="dxa"/>
          </w:tcPr>
          <w:p w14:paraId="5B0A2565" w14:textId="6CEC556C" w:rsidR="00A31F78" w:rsidRDefault="00516607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15,88</w:t>
            </w:r>
          </w:p>
        </w:tc>
        <w:tc>
          <w:tcPr>
            <w:tcW w:w="2976" w:type="dxa"/>
          </w:tcPr>
          <w:p w14:paraId="3519BF75" w14:textId="6773A83D" w:rsidR="00A31F78" w:rsidRPr="00034C6C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167,88</w:t>
            </w:r>
          </w:p>
        </w:tc>
        <w:tc>
          <w:tcPr>
            <w:tcW w:w="1843" w:type="dxa"/>
          </w:tcPr>
          <w:p w14:paraId="29575042" w14:textId="0018F8C2" w:rsidR="00A31F78" w:rsidRDefault="00A31F78" w:rsidP="00A31F7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15,88</w:t>
            </w:r>
          </w:p>
        </w:tc>
      </w:tr>
    </w:tbl>
    <w:p w14:paraId="5A7F7B4F" w14:textId="16E587FE" w:rsidR="00203B07" w:rsidRDefault="00385B6C" w:rsidP="00343AFB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32D6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14:paraId="32C5BD5D" w14:textId="121480CF" w:rsidR="008A69AB" w:rsidRPr="00EB0FF2" w:rsidRDefault="008A69AB" w:rsidP="00343AFB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32D6">
        <w:rPr>
          <w:rFonts w:ascii="Times New Roman" w:hAnsi="Times New Roman" w:cs="Times New Roman"/>
          <w:sz w:val="24"/>
          <w:szCs w:val="24"/>
          <w:lang w:val="uk-UA" w:eastAsia="ru-RU"/>
        </w:rPr>
        <w:t>З усією повною інформацією щодо планованих тарифів можна ознайомитись на сайті ТОВ «</w:t>
      </w:r>
      <w:r w:rsidR="00DC53DA">
        <w:rPr>
          <w:rFonts w:ascii="Times New Roman" w:hAnsi="Times New Roman" w:cs="Times New Roman"/>
          <w:sz w:val="24"/>
          <w:szCs w:val="24"/>
          <w:lang w:val="uk-UA" w:eastAsia="ru-RU"/>
        </w:rPr>
        <w:t>СЕНТ СОФІЯ ПРОПЕРТІ МЕНЕДЖМЕНТ</w:t>
      </w:r>
      <w:r w:rsidRPr="000E32D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» за посиланням: </w:t>
      </w:r>
      <w:hyperlink r:id="rId6" w:history="1">
        <w:r w:rsidR="00F403D3" w:rsidRPr="00D82D63">
          <w:rPr>
            <w:rStyle w:val="a9"/>
          </w:rPr>
          <w:t>www</w:t>
        </w:r>
        <w:r w:rsidR="00F403D3" w:rsidRPr="0056633B">
          <w:rPr>
            <w:rStyle w:val="a9"/>
            <w:lang w:val="uk-UA"/>
          </w:rPr>
          <w:t>.</w:t>
        </w:r>
        <w:r w:rsidR="00F403D3" w:rsidRPr="00D82D63">
          <w:rPr>
            <w:rStyle w:val="a9"/>
          </w:rPr>
          <w:t>stspm</w:t>
        </w:r>
        <w:r w:rsidR="00F403D3" w:rsidRPr="0056633B">
          <w:rPr>
            <w:rStyle w:val="a9"/>
            <w:lang w:val="uk-UA"/>
          </w:rPr>
          <w:t>.</w:t>
        </w:r>
        <w:r w:rsidR="00F403D3" w:rsidRPr="00D82D63">
          <w:rPr>
            <w:rStyle w:val="a9"/>
          </w:rPr>
          <w:t>kiev</w:t>
        </w:r>
        <w:r w:rsidR="00F403D3" w:rsidRPr="0056633B">
          <w:rPr>
            <w:rStyle w:val="a9"/>
            <w:lang w:val="uk-UA"/>
          </w:rPr>
          <w:t>.</w:t>
        </w:r>
        <w:r w:rsidR="00F403D3" w:rsidRPr="00D82D63">
          <w:rPr>
            <w:rStyle w:val="a9"/>
          </w:rPr>
          <w:t>ua</w:t>
        </w:r>
      </w:hyperlink>
      <w:r w:rsidR="00DC53DA">
        <w:rPr>
          <w:lang w:val="uk-UA"/>
        </w:rPr>
        <w:t xml:space="preserve">. </w:t>
      </w:r>
      <w:r w:rsidRPr="000E32D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Зауваження та пропозиції приймаються протягом 7 календарних днів з </w:t>
      </w:r>
      <w:r w:rsidR="00B73DFE">
        <w:rPr>
          <w:rFonts w:ascii="Times New Roman" w:hAnsi="Times New Roman" w:cs="Times New Roman"/>
          <w:sz w:val="24"/>
          <w:szCs w:val="24"/>
          <w:lang w:val="uk-UA" w:eastAsia="ru-RU"/>
        </w:rPr>
        <w:t>02</w:t>
      </w:r>
      <w:r w:rsidRPr="000E32D6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B73DFE">
        <w:rPr>
          <w:rFonts w:ascii="Times New Roman" w:hAnsi="Times New Roman" w:cs="Times New Roman"/>
          <w:sz w:val="24"/>
          <w:szCs w:val="24"/>
          <w:lang w:val="uk-UA" w:eastAsia="ru-RU"/>
        </w:rPr>
        <w:t>08</w:t>
      </w:r>
      <w:r w:rsidRPr="000E32D6">
        <w:rPr>
          <w:rFonts w:ascii="Times New Roman" w:hAnsi="Times New Roman" w:cs="Times New Roman"/>
          <w:sz w:val="24"/>
          <w:szCs w:val="24"/>
          <w:lang w:val="uk-UA" w:eastAsia="ru-RU"/>
        </w:rPr>
        <w:t>.202</w:t>
      </w:r>
      <w:r w:rsidR="00B73DFE">
        <w:rPr>
          <w:rFonts w:ascii="Times New Roman" w:hAnsi="Times New Roman" w:cs="Times New Roman"/>
          <w:sz w:val="24"/>
          <w:szCs w:val="24"/>
          <w:lang w:val="uk-UA" w:eastAsia="ru-RU"/>
        </w:rPr>
        <w:t>4</w:t>
      </w:r>
      <w:r w:rsidRPr="000E32D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 </w:t>
      </w:r>
      <w:r w:rsidR="00DC53DA">
        <w:rPr>
          <w:rFonts w:ascii="Times New Roman" w:hAnsi="Times New Roman" w:cs="Times New Roman"/>
          <w:sz w:val="24"/>
          <w:szCs w:val="24"/>
          <w:lang w:val="uk-UA" w:eastAsia="ru-RU"/>
        </w:rPr>
        <w:t>08</w:t>
      </w:r>
      <w:r w:rsidRPr="000E32D6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DC53DA">
        <w:rPr>
          <w:rFonts w:ascii="Times New Roman" w:hAnsi="Times New Roman" w:cs="Times New Roman"/>
          <w:sz w:val="24"/>
          <w:szCs w:val="24"/>
          <w:lang w:val="uk-UA" w:eastAsia="ru-RU"/>
        </w:rPr>
        <w:t>08</w:t>
      </w:r>
      <w:r w:rsidRPr="000E32D6">
        <w:rPr>
          <w:rFonts w:ascii="Times New Roman" w:hAnsi="Times New Roman" w:cs="Times New Roman"/>
          <w:sz w:val="24"/>
          <w:szCs w:val="24"/>
          <w:lang w:val="uk-UA" w:eastAsia="ru-RU"/>
        </w:rPr>
        <w:t>.202</w:t>
      </w:r>
      <w:r w:rsidR="00DC53DA">
        <w:rPr>
          <w:rFonts w:ascii="Times New Roman" w:hAnsi="Times New Roman" w:cs="Times New Roman"/>
          <w:sz w:val="24"/>
          <w:szCs w:val="24"/>
          <w:lang w:val="uk-UA" w:eastAsia="ru-RU"/>
        </w:rPr>
        <w:t>4</w:t>
      </w:r>
      <w:r w:rsidRPr="000E32D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 </w:t>
      </w:r>
      <w:proofErr w:type="spellStart"/>
      <w:r w:rsidRPr="000E32D6">
        <w:rPr>
          <w:rFonts w:ascii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0E32D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: </w:t>
      </w:r>
      <w:r w:rsidR="003D11EB" w:rsidRPr="003D11EB">
        <w:rPr>
          <w:bCs/>
          <w:lang w:val="uk-UA"/>
        </w:rPr>
        <w:t>01015,</w:t>
      </w:r>
      <w:r w:rsidR="003D11EB">
        <w:rPr>
          <w:bCs/>
          <w:lang w:val="uk-UA"/>
        </w:rPr>
        <w:t xml:space="preserve">  </w:t>
      </w:r>
      <w:r w:rsidR="008F707E">
        <w:rPr>
          <w:bCs/>
          <w:lang w:val="uk-UA"/>
        </w:rPr>
        <w:t xml:space="preserve"> </w:t>
      </w:r>
      <w:r w:rsidR="003D11EB" w:rsidRPr="003D11EB">
        <w:rPr>
          <w:bCs/>
          <w:lang w:val="uk-UA"/>
        </w:rPr>
        <w:t xml:space="preserve"> м. Київ-15, вул. Лаврська, 16 літ. «В»</w:t>
      </w:r>
      <w:r w:rsidRPr="000E32D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 на електронну адресу: </w:t>
      </w:r>
      <w:hyperlink r:id="rId7" w:history="1">
        <w:r w:rsidR="0056633B" w:rsidRPr="003365F2">
          <w:rPr>
            <w:rStyle w:val="a9"/>
            <w:lang w:val="en-US"/>
          </w:rPr>
          <w:t>mail</w:t>
        </w:r>
        <w:r w:rsidR="0056633B" w:rsidRPr="003365F2">
          <w:rPr>
            <w:rStyle w:val="a9"/>
          </w:rPr>
          <w:t>@stspm.kiev.ua</w:t>
        </w:r>
      </w:hyperlink>
      <w:r w:rsidR="00EB0FF2">
        <w:rPr>
          <w:rStyle w:val="a9"/>
          <w:lang w:val="uk-UA"/>
        </w:rPr>
        <w:t xml:space="preserve">  </w:t>
      </w:r>
      <w:r w:rsidR="00EB0FF2" w:rsidRPr="00EB0FF2">
        <w:rPr>
          <w:rStyle w:val="a9"/>
          <w:color w:val="000000" w:themeColor="text1"/>
          <w:u w:val="none"/>
          <w:lang w:val="uk-UA"/>
        </w:rPr>
        <w:t>тел.</w:t>
      </w:r>
      <w:r w:rsidR="00EB0FF2">
        <w:rPr>
          <w:rStyle w:val="a9"/>
          <w:color w:val="000000" w:themeColor="text1"/>
          <w:u w:val="none"/>
          <w:lang w:val="uk-UA"/>
        </w:rPr>
        <w:t xml:space="preserve">044 </w:t>
      </w:r>
      <w:r w:rsidR="00EB0FF2" w:rsidRPr="00EB0FF2">
        <w:rPr>
          <w:rStyle w:val="a9"/>
          <w:color w:val="000000" w:themeColor="text1"/>
          <w:u w:val="none"/>
          <w:lang w:val="uk-UA"/>
        </w:rPr>
        <w:t>495-01-06</w:t>
      </w:r>
    </w:p>
    <w:p w14:paraId="477818B7" w14:textId="24A4B0FA" w:rsidR="008A69AB" w:rsidRPr="008F1EC3" w:rsidRDefault="008A69AB" w:rsidP="00117897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A69AB" w:rsidRPr="008F1EC3" w:rsidSect="008F707E">
      <w:pgSz w:w="16838" w:h="11906" w:orient="landscape"/>
      <w:pgMar w:top="284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42022"/>
    <w:multiLevelType w:val="hybridMultilevel"/>
    <w:tmpl w:val="99B8CCCA"/>
    <w:lvl w:ilvl="0" w:tplc="DCA40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2866"/>
    <w:multiLevelType w:val="hybridMultilevel"/>
    <w:tmpl w:val="CA36FE54"/>
    <w:lvl w:ilvl="0" w:tplc="22C2D0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3567A"/>
    <w:multiLevelType w:val="hybridMultilevel"/>
    <w:tmpl w:val="84986556"/>
    <w:lvl w:ilvl="0" w:tplc="F32C78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E3600"/>
    <w:multiLevelType w:val="hybridMultilevel"/>
    <w:tmpl w:val="0BAE4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984501">
    <w:abstractNumId w:val="3"/>
  </w:num>
  <w:num w:numId="2" w16cid:durableId="1396466352">
    <w:abstractNumId w:val="0"/>
  </w:num>
  <w:num w:numId="3" w16cid:durableId="1322584203">
    <w:abstractNumId w:val="2"/>
  </w:num>
  <w:num w:numId="4" w16cid:durableId="897400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88"/>
    <w:rsid w:val="0000102B"/>
    <w:rsid w:val="00004488"/>
    <w:rsid w:val="000235E7"/>
    <w:rsid w:val="00024154"/>
    <w:rsid w:val="0003025A"/>
    <w:rsid w:val="000302DD"/>
    <w:rsid w:val="000310AF"/>
    <w:rsid w:val="00034C6C"/>
    <w:rsid w:val="00050D05"/>
    <w:rsid w:val="000519A8"/>
    <w:rsid w:val="00055CC6"/>
    <w:rsid w:val="000611A2"/>
    <w:rsid w:val="00071644"/>
    <w:rsid w:val="00077DAA"/>
    <w:rsid w:val="00080733"/>
    <w:rsid w:val="00081CDB"/>
    <w:rsid w:val="00083678"/>
    <w:rsid w:val="00087FE6"/>
    <w:rsid w:val="00092788"/>
    <w:rsid w:val="0009690B"/>
    <w:rsid w:val="000A5AE7"/>
    <w:rsid w:val="000B075E"/>
    <w:rsid w:val="000B7FC3"/>
    <w:rsid w:val="000C73BD"/>
    <w:rsid w:val="000E32D6"/>
    <w:rsid w:val="000E6ED8"/>
    <w:rsid w:val="000F09A6"/>
    <w:rsid w:val="000F220D"/>
    <w:rsid w:val="00117897"/>
    <w:rsid w:val="00125131"/>
    <w:rsid w:val="00141A31"/>
    <w:rsid w:val="00153898"/>
    <w:rsid w:val="0016397A"/>
    <w:rsid w:val="00170535"/>
    <w:rsid w:val="001852E9"/>
    <w:rsid w:val="00191077"/>
    <w:rsid w:val="00194193"/>
    <w:rsid w:val="001946B5"/>
    <w:rsid w:val="001A4EAE"/>
    <w:rsid w:val="001B156A"/>
    <w:rsid w:val="001B16E3"/>
    <w:rsid w:val="001B4C0E"/>
    <w:rsid w:val="001D6041"/>
    <w:rsid w:val="001F1B0E"/>
    <w:rsid w:val="00200867"/>
    <w:rsid w:val="002025F5"/>
    <w:rsid w:val="00202D1D"/>
    <w:rsid w:val="00203B07"/>
    <w:rsid w:val="00221C0E"/>
    <w:rsid w:val="00222145"/>
    <w:rsid w:val="00225887"/>
    <w:rsid w:val="00225F9B"/>
    <w:rsid w:val="0022635B"/>
    <w:rsid w:val="00235364"/>
    <w:rsid w:val="00240A89"/>
    <w:rsid w:val="00241B32"/>
    <w:rsid w:val="00250762"/>
    <w:rsid w:val="00251A2A"/>
    <w:rsid w:val="00255FA7"/>
    <w:rsid w:val="002602AA"/>
    <w:rsid w:val="00261EF8"/>
    <w:rsid w:val="00270C9D"/>
    <w:rsid w:val="00271671"/>
    <w:rsid w:val="00283AF8"/>
    <w:rsid w:val="00286079"/>
    <w:rsid w:val="002871D3"/>
    <w:rsid w:val="00287201"/>
    <w:rsid w:val="002877D4"/>
    <w:rsid w:val="00292536"/>
    <w:rsid w:val="002934C6"/>
    <w:rsid w:val="0029370E"/>
    <w:rsid w:val="002B08C8"/>
    <w:rsid w:val="002C085E"/>
    <w:rsid w:val="002D4D5A"/>
    <w:rsid w:val="002D7BD9"/>
    <w:rsid w:val="00303B4A"/>
    <w:rsid w:val="00315FB4"/>
    <w:rsid w:val="00323ECB"/>
    <w:rsid w:val="0033695A"/>
    <w:rsid w:val="00343AFB"/>
    <w:rsid w:val="00353DEC"/>
    <w:rsid w:val="003712B3"/>
    <w:rsid w:val="00372AA9"/>
    <w:rsid w:val="00383A89"/>
    <w:rsid w:val="00383EFF"/>
    <w:rsid w:val="00385178"/>
    <w:rsid w:val="00385B6C"/>
    <w:rsid w:val="003B1BBE"/>
    <w:rsid w:val="003B6BAA"/>
    <w:rsid w:val="003C1492"/>
    <w:rsid w:val="003D11EB"/>
    <w:rsid w:val="003E5E3B"/>
    <w:rsid w:val="003F6336"/>
    <w:rsid w:val="003F7311"/>
    <w:rsid w:val="00406551"/>
    <w:rsid w:val="004128B1"/>
    <w:rsid w:val="00412F08"/>
    <w:rsid w:val="00424DB1"/>
    <w:rsid w:val="00424F22"/>
    <w:rsid w:val="00441B17"/>
    <w:rsid w:val="00442810"/>
    <w:rsid w:val="004438CB"/>
    <w:rsid w:val="0045540D"/>
    <w:rsid w:val="004636C9"/>
    <w:rsid w:val="004667BF"/>
    <w:rsid w:val="0049219D"/>
    <w:rsid w:val="004A09DD"/>
    <w:rsid w:val="004B1190"/>
    <w:rsid w:val="004B2784"/>
    <w:rsid w:val="004B2B6F"/>
    <w:rsid w:val="004C6E95"/>
    <w:rsid w:val="004D25AE"/>
    <w:rsid w:val="004E2B04"/>
    <w:rsid w:val="0050192E"/>
    <w:rsid w:val="00510892"/>
    <w:rsid w:val="005136C8"/>
    <w:rsid w:val="00516607"/>
    <w:rsid w:val="00522C03"/>
    <w:rsid w:val="00537C6D"/>
    <w:rsid w:val="0054595F"/>
    <w:rsid w:val="00553C1A"/>
    <w:rsid w:val="0056633B"/>
    <w:rsid w:val="0057276E"/>
    <w:rsid w:val="005742E8"/>
    <w:rsid w:val="005A1C77"/>
    <w:rsid w:val="005C4BDE"/>
    <w:rsid w:val="005C5204"/>
    <w:rsid w:val="005D05E6"/>
    <w:rsid w:val="005D07C2"/>
    <w:rsid w:val="005D4C17"/>
    <w:rsid w:val="005E2A48"/>
    <w:rsid w:val="00601D5E"/>
    <w:rsid w:val="006169A5"/>
    <w:rsid w:val="006208ED"/>
    <w:rsid w:val="006366A0"/>
    <w:rsid w:val="00653D75"/>
    <w:rsid w:val="0067085D"/>
    <w:rsid w:val="00670B11"/>
    <w:rsid w:val="00674ED5"/>
    <w:rsid w:val="0069562E"/>
    <w:rsid w:val="006E512D"/>
    <w:rsid w:val="00700A7D"/>
    <w:rsid w:val="007135BD"/>
    <w:rsid w:val="007219FC"/>
    <w:rsid w:val="00732097"/>
    <w:rsid w:val="0074643E"/>
    <w:rsid w:val="0075286F"/>
    <w:rsid w:val="0076065E"/>
    <w:rsid w:val="00775FF1"/>
    <w:rsid w:val="00781854"/>
    <w:rsid w:val="00787E85"/>
    <w:rsid w:val="007905B5"/>
    <w:rsid w:val="00793227"/>
    <w:rsid w:val="007A5B86"/>
    <w:rsid w:val="007C513B"/>
    <w:rsid w:val="007D092F"/>
    <w:rsid w:val="007D23F3"/>
    <w:rsid w:val="007D6FFE"/>
    <w:rsid w:val="007E2A54"/>
    <w:rsid w:val="007F3296"/>
    <w:rsid w:val="007F586F"/>
    <w:rsid w:val="007F6EE9"/>
    <w:rsid w:val="007F73BD"/>
    <w:rsid w:val="007F7C8C"/>
    <w:rsid w:val="008005E9"/>
    <w:rsid w:val="0080328F"/>
    <w:rsid w:val="00812FD6"/>
    <w:rsid w:val="00826A2D"/>
    <w:rsid w:val="00830165"/>
    <w:rsid w:val="00830A0F"/>
    <w:rsid w:val="00831D39"/>
    <w:rsid w:val="008371EB"/>
    <w:rsid w:val="00843A65"/>
    <w:rsid w:val="00846D71"/>
    <w:rsid w:val="0085209D"/>
    <w:rsid w:val="008656F0"/>
    <w:rsid w:val="008978EF"/>
    <w:rsid w:val="008A5CBA"/>
    <w:rsid w:val="008A69AB"/>
    <w:rsid w:val="008C0475"/>
    <w:rsid w:val="008C2B90"/>
    <w:rsid w:val="008C64DF"/>
    <w:rsid w:val="008D528E"/>
    <w:rsid w:val="008D756B"/>
    <w:rsid w:val="008E37F9"/>
    <w:rsid w:val="008E6522"/>
    <w:rsid w:val="008F1EC3"/>
    <w:rsid w:val="008F299E"/>
    <w:rsid w:val="008F5226"/>
    <w:rsid w:val="008F707E"/>
    <w:rsid w:val="0090693D"/>
    <w:rsid w:val="00911388"/>
    <w:rsid w:val="009115C9"/>
    <w:rsid w:val="009174F8"/>
    <w:rsid w:val="00921088"/>
    <w:rsid w:val="009216E5"/>
    <w:rsid w:val="0092170B"/>
    <w:rsid w:val="00977C1B"/>
    <w:rsid w:val="009812D2"/>
    <w:rsid w:val="00981AE6"/>
    <w:rsid w:val="00986CC2"/>
    <w:rsid w:val="009C48E7"/>
    <w:rsid w:val="009C4952"/>
    <w:rsid w:val="009E3804"/>
    <w:rsid w:val="009E5180"/>
    <w:rsid w:val="009E547F"/>
    <w:rsid w:val="009F238D"/>
    <w:rsid w:val="009F3D0D"/>
    <w:rsid w:val="00A11C12"/>
    <w:rsid w:val="00A22E3A"/>
    <w:rsid w:val="00A263E7"/>
    <w:rsid w:val="00A26B6A"/>
    <w:rsid w:val="00A31F78"/>
    <w:rsid w:val="00A332D2"/>
    <w:rsid w:val="00A41876"/>
    <w:rsid w:val="00A519DF"/>
    <w:rsid w:val="00A63125"/>
    <w:rsid w:val="00A6547C"/>
    <w:rsid w:val="00A71C7B"/>
    <w:rsid w:val="00A73FD3"/>
    <w:rsid w:val="00A875E0"/>
    <w:rsid w:val="00A94E38"/>
    <w:rsid w:val="00AA3D32"/>
    <w:rsid w:val="00AB7486"/>
    <w:rsid w:val="00AC4682"/>
    <w:rsid w:val="00AC6BF0"/>
    <w:rsid w:val="00AE0E69"/>
    <w:rsid w:val="00AE3184"/>
    <w:rsid w:val="00AE6BBA"/>
    <w:rsid w:val="00AE71B3"/>
    <w:rsid w:val="00B10847"/>
    <w:rsid w:val="00B14F8C"/>
    <w:rsid w:val="00B2024D"/>
    <w:rsid w:val="00B26BAF"/>
    <w:rsid w:val="00B51795"/>
    <w:rsid w:val="00B634F0"/>
    <w:rsid w:val="00B657EF"/>
    <w:rsid w:val="00B73DFE"/>
    <w:rsid w:val="00B74B8D"/>
    <w:rsid w:val="00B925DF"/>
    <w:rsid w:val="00B93857"/>
    <w:rsid w:val="00BA2A01"/>
    <w:rsid w:val="00BB37B7"/>
    <w:rsid w:val="00BB5BE1"/>
    <w:rsid w:val="00BB77C3"/>
    <w:rsid w:val="00BC00C3"/>
    <w:rsid w:val="00BC4860"/>
    <w:rsid w:val="00BD5543"/>
    <w:rsid w:val="00BE3C77"/>
    <w:rsid w:val="00BF24A3"/>
    <w:rsid w:val="00C05A59"/>
    <w:rsid w:val="00C25479"/>
    <w:rsid w:val="00C32D56"/>
    <w:rsid w:val="00C33237"/>
    <w:rsid w:val="00C47CF2"/>
    <w:rsid w:val="00C61DBF"/>
    <w:rsid w:val="00C70EA5"/>
    <w:rsid w:val="00C813BF"/>
    <w:rsid w:val="00C85D8F"/>
    <w:rsid w:val="00C9201D"/>
    <w:rsid w:val="00C97879"/>
    <w:rsid w:val="00CA0DDD"/>
    <w:rsid w:val="00CB23EF"/>
    <w:rsid w:val="00CB3F88"/>
    <w:rsid w:val="00CB5E73"/>
    <w:rsid w:val="00CC7D95"/>
    <w:rsid w:val="00CF30CA"/>
    <w:rsid w:val="00CF3D38"/>
    <w:rsid w:val="00CF3F83"/>
    <w:rsid w:val="00D0390C"/>
    <w:rsid w:val="00D03D50"/>
    <w:rsid w:val="00D24ECF"/>
    <w:rsid w:val="00D36B8C"/>
    <w:rsid w:val="00D36C40"/>
    <w:rsid w:val="00D43374"/>
    <w:rsid w:val="00D55C28"/>
    <w:rsid w:val="00D60F2A"/>
    <w:rsid w:val="00D622F6"/>
    <w:rsid w:val="00D63C42"/>
    <w:rsid w:val="00D70B05"/>
    <w:rsid w:val="00D74C9F"/>
    <w:rsid w:val="00D93D57"/>
    <w:rsid w:val="00DB1AE0"/>
    <w:rsid w:val="00DC3B3E"/>
    <w:rsid w:val="00DC5124"/>
    <w:rsid w:val="00DC53DA"/>
    <w:rsid w:val="00DE082E"/>
    <w:rsid w:val="00DF0C20"/>
    <w:rsid w:val="00DF7FAB"/>
    <w:rsid w:val="00E0357E"/>
    <w:rsid w:val="00E0574D"/>
    <w:rsid w:val="00E25990"/>
    <w:rsid w:val="00E327F9"/>
    <w:rsid w:val="00E46E83"/>
    <w:rsid w:val="00E61620"/>
    <w:rsid w:val="00E63ED0"/>
    <w:rsid w:val="00E82E35"/>
    <w:rsid w:val="00E846FA"/>
    <w:rsid w:val="00E87350"/>
    <w:rsid w:val="00E93350"/>
    <w:rsid w:val="00E964E4"/>
    <w:rsid w:val="00EB0FF2"/>
    <w:rsid w:val="00EB5677"/>
    <w:rsid w:val="00EE26FF"/>
    <w:rsid w:val="00F045D9"/>
    <w:rsid w:val="00F05407"/>
    <w:rsid w:val="00F05E16"/>
    <w:rsid w:val="00F12EDC"/>
    <w:rsid w:val="00F21531"/>
    <w:rsid w:val="00F24198"/>
    <w:rsid w:val="00F27418"/>
    <w:rsid w:val="00F32A10"/>
    <w:rsid w:val="00F403D3"/>
    <w:rsid w:val="00F437C9"/>
    <w:rsid w:val="00F50BB1"/>
    <w:rsid w:val="00F573B4"/>
    <w:rsid w:val="00F57F41"/>
    <w:rsid w:val="00F701CA"/>
    <w:rsid w:val="00F72D9B"/>
    <w:rsid w:val="00F73C6A"/>
    <w:rsid w:val="00F87C6C"/>
    <w:rsid w:val="00F91A69"/>
    <w:rsid w:val="00F91DDA"/>
    <w:rsid w:val="00F942C0"/>
    <w:rsid w:val="00FA1CAD"/>
    <w:rsid w:val="00FB3E44"/>
    <w:rsid w:val="00FC011B"/>
    <w:rsid w:val="00FC1C89"/>
    <w:rsid w:val="00FC2A2C"/>
    <w:rsid w:val="00FC70CD"/>
    <w:rsid w:val="00FD1E83"/>
    <w:rsid w:val="00FD6ABE"/>
    <w:rsid w:val="00FE570D"/>
    <w:rsid w:val="00FE6E9C"/>
    <w:rsid w:val="00F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6BC3"/>
  <w15:chartTrackingRefBased/>
  <w15:docId w15:val="{F8C3579E-0DE2-49BB-ADD5-3ABF7908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A89"/>
    <w:pPr>
      <w:spacing w:after="200" w:line="276" w:lineRule="auto"/>
      <w:ind w:left="720"/>
      <w:contextualSpacing/>
    </w:pPr>
    <w:rPr>
      <w:lang w:val="en-US" w:bidi="en-US"/>
    </w:rPr>
  </w:style>
  <w:style w:type="table" w:styleId="a4">
    <w:name w:val="Table Grid"/>
    <w:basedOn w:val="a1"/>
    <w:uiPriority w:val="39"/>
    <w:rsid w:val="00FE6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255F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1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2170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D05E6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4B1190"/>
    <w:rPr>
      <w:color w:val="0563C1" w:themeColor="hyperlink"/>
      <w:u w:val="single"/>
    </w:rPr>
  </w:style>
  <w:style w:type="character" w:styleId="aa">
    <w:name w:val="Emphasis"/>
    <w:basedOn w:val="a0"/>
    <w:uiPriority w:val="20"/>
    <w:qFormat/>
    <w:rsid w:val="00826A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l@stspm.kie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spm.kie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CAA15-9CB7-4346-A161-971A144C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2457</Words>
  <Characters>1401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Дончак Светлана</dc:creator>
  <cp:keywords/>
  <dc:description/>
  <cp:lastModifiedBy>Світлана Дончак</cp:lastModifiedBy>
  <cp:revision>21</cp:revision>
  <cp:lastPrinted>2023-12-05T13:20:00Z</cp:lastPrinted>
  <dcterms:created xsi:type="dcterms:W3CDTF">2024-08-01T08:32:00Z</dcterms:created>
  <dcterms:modified xsi:type="dcterms:W3CDTF">2024-08-01T10:29:00Z</dcterms:modified>
</cp:coreProperties>
</file>